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E2" w:rsidRPr="00E00CE2" w:rsidRDefault="00E00CE2" w:rsidP="00E00C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Лабораторная работа №11</w:t>
      </w:r>
    </w:p>
    <w:p w:rsidR="00E00CE2" w:rsidRPr="00E00CE2" w:rsidRDefault="00E00CE2" w:rsidP="00E00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Устройство зубчатой передачи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принцип действия</w:t>
      </w:r>
    </w:p>
    <w:p w:rsidR="00E00CE2" w:rsidRPr="00E00CE2" w:rsidRDefault="00E00CE2" w:rsidP="00E00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Цель работы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– изучить различные виды зубчатых передач, научиться определять тип и вид зубчатых передач, их передаточные отношения и передаточные числа.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Зубчатая передача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Зубчатая передача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– трехзвенный механизм, в котором два подвижных звена являются зубчатыми колесами, образующими с неподвижным звеном вращательную или поступательную пару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(рис.1).</w:t>
      </w:r>
    </w:p>
    <w:p w:rsidR="00E00CE2" w:rsidRPr="00E00CE2" w:rsidRDefault="00E00CE2" w:rsidP="00E00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0455A82" wp14:editId="0FAE04D2">
            <wp:extent cx="2809875" cy="1895475"/>
            <wp:effectExtent l="0" t="0" r="9525" b="9525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Рис.1. Зубчатая передача с внешним зацеплением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Парное зубчатое колесо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- зубчатое колесо передачи, рассматриваемое по отношению к другому зубчатому колесу данной передачи.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Зубчатое колесо 2 (рис.1) является парным колесу 1, зубчатое колесо 1 парное колесу 2.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Шестерня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– зубчатое колесо передачи с меньшим числом зубьев.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Колесо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– зубчатое колесо передачи с большим числом зубьев.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Передаточное отношение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зубчатой передачи – это отношение угловой скорости ведущего зубчатого колеса к угловой скорости ведомого зубчатого колеса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Ведущее зубчатое колесо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– зубчатое колесо передачи, которое сообщает движение парному зубчатому колесу.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Ведомое зубчатое колесо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- зубчатое колесо передачи, которому сообщает движение парное зубчатое колесо.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Передаточное отношение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CCE5A0" wp14:editId="1B92044B">
            <wp:extent cx="200025" cy="161925"/>
            <wp:effectExtent l="0" t="0" r="9525" b="9525"/>
            <wp:docPr id="2" name="Рисунок 2" descr="http://www.teormach.ru/lab21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teormach.ru/lab21.files/image04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(иногда используется обозначение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BB6A91" wp14:editId="6FF414CA">
            <wp:extent cx="161925" cy="161925"/>
            <wp:effectExtent l="0" t="0" r="9525" b="9525"/>
            <wp:docPr id="3" name="Рисунок 3" descr="http://www.teormach.ru/lab21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teormach.ru/lab21.files/image05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) определяется при ведущем колесе 1, передаточное отношение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CE7A9B" wp14:editId="69422B1A">
            <wp:extent cx="200025" cy="161925"/>
            <wp:effectExtent l="0" t="0" r="9525" b="9525"/>
            <wp:docPr id="4" name="Рисунок 4" descr="http://www.teormach.ru/lab21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teormach.ru/lab21.files/image05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определяется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если ведущим является колесо 2: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FCF3E0" wp14:editId="1A2482DD">
            <wp:extent cx="1257300" cy="342900"/>
            <wp:effectExtent l="0" t="0" r="0" b="0"/>
            <wp:docPr id="5" name="Рисунок 5" descr="http://www.teormach.ru/lab21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teormach.ru/lab21.files/image05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6AAA29" wp14:editId="570EAE86">
            <wp:extent cx="1257300" cy="342900"/>
            <wp:effectExtent l="0" t="0" r="0" b="0"/>
            <wp:docPr id="6" name="Рисунок 6" descr="http://www.teormach.ru/lab21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teormach.ru/lab21.files/image06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022290D" wp14:editId="198DBE01">
            <wp:extent cx="5686425" cy="2133600"/>
            <wp:effectExtent l="0" t="0" r="9525" b="0"/>
            <wp:docPr id="7" name="Рисунок 7" descr="image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0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Рис.2. Виды зубчатых зацеплений: </w:t>
      </w:r>
      <w:proofErr w:type="gramStart"/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внешнее</w:t>
      </w:r>
      <w:proofErr w:type="gramEnd"/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(слева) и </w:t>
      </w:r>
      <w:proofErr w:type="spellStart"/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внутреннеее</w:t>
      </w:r>
      <w:proofErr w:type="spellEnd"/>
    </w:p>
    <w:p w:rsidR="00E00CE2" w:rsidRPr="00E00CE2" w:rsidRDefault="00E00CE2" w:rsidP="00E00C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Передаточное число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зубчатой передачи – это отношение числа зубьев ведомого зубчатого колеса к числу зубьев ведущего колеса.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Передаточное число зубчатой передачи определяется по формуле: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64E3AE" wp14:editId="1D7F4927">
            <wp:extent cx="1704975" cy="342900"/>
            <wp:effectExtent l="0" t="0" r="9525" b="0"/>
            <wp:docPr id="8" name="Рисунок 8" descr="http://www.teormach.ru/lab21.files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teormach.ru/lab21.files/image06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где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AC3555" wp14:editId="6286DF0F">
            <wp:extent cx="123825" cy="161925"/>
            <wp:effectExtent l="0" t="0" r="9525" b="9525"/>
            <wp:docPr id="9" name="Рисунок 9" descr="http://www.teormach.ru/lab21.files/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teormach.ru/lab21.files/image06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2832D7" wp14:editId="00334DA2">
            <wp:extent cx="133350" cy="161925"/>
            <wp:effectExtent l="0" t="0" r="0" b="9525"/>
            <wp:docPr id="10" name="Рисунок 10" descr="http://www.teormach.ru/lab21.files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teormach.ru/lab21.files/image06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- числа зубьев колес 1 и 2, соответственно.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Знак «+» берется для внешнего зацепления (рис.1 и рис.2), знак </w:t>
      </w: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«–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» для внутреннего зацепления. Виды зацеплений приведены на рис.2. Знаки учитываются только для зубчатых передач с параллельными осями вращения колес.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Типы зубчатых передач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Цилиндрическая зубчатая передача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(показана на рис.3, ее кинематическая схема – на рис.1)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- зубчатая передача с параллельными осями, у зубчатых колес которой </w:t>
      </w:r>
      <w:proofErr w:type="spellStart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аксоидные</w:t>
      </w:r>
      <w:proofErr w:type="spellEnd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начальные и </w:t>
      </w:r>
      <w:proofErr w:type="spellStart"/>
      <w:proofErr w:type="gramStart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</w:t>
      </w:r>
      <w:proofErr w:type="spellEnd"/>
      <w:proofErr w:type="gramEnd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делительные поверхности цилиндрические.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В этих передачах относительное расположение осей вращения колес определяется только межосевым расстоянием.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Аксоидная</w:t>
      </w:r>
      <w:proofErr w:type="spellEnd"/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поверхность зубчатого колеса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– каждая из поверхностей, описываемых мгновенной осью относительного движения зубчатых колес передачи, относящаяся к данному зубчатому колесу.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В цилиндрической и конической передачах начальные поверхности совпадают с </w:t>
      </w:r>
      <w:proofErr w:type="spell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аксоидными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Коническая зубчатая передач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(показана на рис.3)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- зубчатая передача с пересекающимися осями, у зубчатых колес которой </w:t>
      </w:r>
      <w:proofErr w:type="spellStart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аксоидные</w:t>
      </w:r>
      <w:proofErr w:type="spellEnd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начальные и </w:t>
      </w:r>
      <w:proofErr w:type="spellStart"/>
      <w:proofErr w:type="gramStart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</w:t>
      </w:r>
      <w:proofErr w:type="spellEnd"/>
      <w:proofErr w:type="gramEnd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делительные поверхности конические.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В этих передачах относительное расположение осей вращения колес определяется только углом между осями.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Ортогональная зубчатая передача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(показан на рис.3)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– коническая зубчатая передача, угол между осями которой равен 90°.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Неортогональная</w:t>
      </w:r>
      <w:proofErr w:type="spellEnd"/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зубчатая передача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– коническая зубчатая передача, угол между осями которой отличен от 90°.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noProof/>
          <w:color w:val="000000"/>
          <w:lang w:eastAsia="ru-RU"/>
        </w:rPr>
        <w:drawing>
          <wp:inline distT="0" distB="0" distL="0" distR="0" wp14:anchorId="13D2B632" wp14:editId="15A460BA">
            <wp:extent cx="5667375" cy="2667000"/>
            <wp:effectExtent l="0" t="0" r="9525" b="0"/>
            <wp:docPr id="11" name="Рисунок 11" descr="image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08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Рис.3. Типы зубчатых передач (слева), коническая (в центре), винтовая зубчатая  передача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Зубчатая передачи со скрещивающимися осями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вращения колес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(рис.3)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- зубчатая передача, в которой относительное расположение осей вращения колес определяется межосевым расстоянием и углом между осями.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Существует много вариантов таких механизмов. На рис.3 показана винтовая зубчатая передача, угол между осями которой составляет 90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°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. Другой вариант передачи с углом между осями в 90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°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- червячная передача (рис.4). Шестерня червячной передачи называется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червяком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(поз.1 на рис.4)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а колесо –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червячным колесом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(поз.2 на рис.4)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Вторая передача, показанная на рис.4, называется </w:t>
      </w:r>
      <w:proofErr w:type="spellStart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гиперболоидной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Аксоиды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 ее зубчатых колес – однополостные </w:t>
      </w:r>
      <w:proofErr w:type="spell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гипеболоиды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 вращения.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Для конических зубчатых передач и передач со скрещивающимися осями передаточное отношение определяется по тем же формулам, что и для цилиндрических передач, но без учета знаков.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84332A0" wp14:editId="44FA1411">
            <wp:extent cx="4800600" cy="2962275"/>
            <wp:effectExtent l="0" t="0" r="0" b="9525"/>
            <wp:docPr id="12" name="Рисунок 12" descr="image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08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Рис.4. Червячная (слева) и </w:t>
      </w:r>
      <w:proofErr w:type="spellStart"/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гиперболоидная</w:t>
      </w:r>
      <w:proofErr w:type="spellEnd"/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зубчатая передача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Виды зубчатых колес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 wp14:anchorId="1F4B1EAF" wp14:editId="1FE4E2A3">
            <wp:extent cx="5743575" cy="1962150"/>
            <wp:effectExtent l="0" t="0" r="9525" b="0"/>
            <wp:docPr id="13" name="Рисунок 13" descr="imag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09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Рис.5. Виды зубчатых колес: </w:t>
      </w:r>
      <w:proofErr w:type="gramStart"/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цилиндрическое</w:t>
      </w:r>
      <w:proofErr w:type="gramEnd"/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косозубое (слева), шевронное (в центре),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коническое прямозубое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В зависимости от вида зубьев зубчатые колеса цилиндрических передач делятся на прямозубые (рис.3 слева), косозубые и шевронные (рис.5).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Зубчатые колеса конических передач – на прямозубые (рис.5), тангенциальные, с круговым зубом (рис.3 в центре), с криволинейным зубом.</w:t>
      </w:r>
      <w:proofErr w:type="gramEnd"/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В зависимости от профиля зубьев зубчатые колеса и передачи делятся на </w:t>
      </w:r>
      <w:proofErr w:type="spell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эвольвентные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 (рис.2, рис.6), циклоидальные, зубчатые колеса цилиндрической передачи Новикова (рис.6), профили зубьев которой контактируют по дуге окружности.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1B596A60" wp14:editId="505294C1">
            <wp:extent cx="5838825" cy="1828800"/>
            <wp:effectExtent l="0" t="0" r="9525" b="0"/>
            <wp:docPr id="14" name="Рисунок 14" descr="image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09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Рис.6. Виды зубчатых колес: с </w:t>
      </w:r>
      <w:proofErr w:type="spellStart"/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эвольвентным</w:t>
      </w:r>
      <w:proofErr w:type="spellEnd"/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профилем зубьев (слева),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зубчатые колеса передачи Новикова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МНОГОСТУПЕНЧАТЫЕ ЗУБЧАТЫЕ ПЕРЕДАЧИ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Зубчатые передачи с неподвижными осями вращения колес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 wp14:anchorId="71CA067A" wp14:editId="6E676EBA">
            <wp:extent cx="5314950" cy="2028825"/>
            <wp:effectExtent l="0" t="0" r="0" b="9525"/>
            <wp:docPr id="15" name="Рисунок 15" descr="image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0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Рис.7. Двухступенчатая зубчатая передача и ее кинематическая схема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Простейший зубчатый механизм (рис.1) состоит из двух зубчатых колес ведущего и ведомого, которые одновременно являются входным и выходным, соответственно. Для получения необходимых передаточных отношений в машинах и приборах часто применяют сложные зубчатые механизмы, имеющие кроме входного и выходного колес несколько промежуточных колес, каждое из которых вращается вокруг своих осей. Применение сложных механизмов объясняется различными причинами. Например, оси входного и выходного колес расположены далеко друг от друга. В этом случае непосредственная передача вращения при помощи двух колес потребовала бы создания передачи с большими габаритами. В другом случае передаточное отношение может быть очень велико или очень мало, тогда удобно между входным и выходным колесами иметь промежуточные колеса со своими осями. Передавая вращение с входного колеса на промежуточные колеса и с них на выходное колесо, мы как бы последовательно отдельными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ступенями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изменяем скорость вращения звеньев, получая в результате требуемые передаточные отношения между входным и выходным колесами.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Таким образом, сложный механизм передачи можно разделить на отдельные части –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ступени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 каждая из которых представляет собой два колеса, образующих зубчатое зацепление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. В соответствии </w:t>
      </w: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указанным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 бывают одно- и многоступенчатые передачи, по большей части двух- и трехступенчатые (рис.7). Количество ступеней равно числу зубчатых зацеплений, образованных зубчатыми колесами механизма. Одно колесо может входить в несколько ступеней (рис.8). Любая ступень может представлять собой цилиндрическую, коническую, червячную, глобоидную и т.д. передачу. На рис.8 показан многоступенчатый механизм, содержащий цилиндрические и конические ступени.</w:t>
      </w:r>
    </w:p>
    <w:p w:rsidR="00E00CE2" w:rsidRPr="00E00CE2" w:rsidRDefault="00E00CE2" w:rsidP="00E00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2E71858B" wp14:editId="541D0375">
            <wp:extent cx="2505075" cy="2505075"/>
            <wp:effectExtent l="0" t="0" r="9525" b="9525"/>
            <wp:docPr id="16" name="Рисунок 16" descr="image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09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Рис.8. Многоступенчатая зубчатая передача</w:t>
      </w:r>
    </w:p>
    <w:p w:rsidR="00E00CE2" w:rsidRPr="00E00CE2" w:rsidRDefault="00E00CE2" w:rsidP="00E00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 паразитными колесами</w:t>
      </w:r>
    </w:p>
    <w:p w:rsidR="00E00CE2" w:rsidRPr="00E00CE2" w:rsidRDefault="00E00CE2" w:rsidP="00E00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Общее передаточное число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(отношение) зубчатой передачи при последовательном соединении ступеней равно произведению передаточных чисел входящих в них ступеней.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Для передачи на рис.7: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412024" wp14:editId="447AD03B">
            <wp:extent cx="2724150" cy="352425"/>
            <wp:effectExtent l="0" t="0" r="0" b="9525"/>
            <wp:docPr id="17" name="Рисунок 17" descr="http://www.teormach.ru/lab21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teormach.ru/lab21.files/image07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Зубчатые колеса, числа зубьев которых не влияют на общее передаточное отношение механизма, называются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паразитными колесами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. Для четырехступенчатой передачи, показанной на рис.8, передаточное число равно: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FEC672" wp14:editId="400FF53B">
            <wp:extent cx="3286125" cy="342900"/>
            <wp:effectExtent l="0" t="0" r="9525" b="0"/>
            <wp:docPr id="18" name="Рисунок 18" descr="http://www.teormach.ru/lab21.files/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teormach.ru/lab21.files/image07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Знаки ступеней не </w:t>
      </w: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учитываются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так как передача включает кроме цилиндрических и конические ступени. Зубчатые колеса с числами зубьев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259EED" wp14:editId="034E96C2">
            <wp:extent cx="142875" cy="180975"/>
            <wp:effectExtent l="0" t="0" r="9525" b="9525"/>
            <wp:docPr id="19" name="Рисунок 19" descr="http://www.teormach.ru/lab21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teormach.ru/lab21.files/image07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FA4DD7" wp14:editId="3589283F">
            <wp:extent cx="133350" cy="161925"/>
            <wp:effectExtent l="0" t="0" r="0" b="9525"/>
            <wp:docPr id="20" name="Рисунок 20" descr="http://www.teormach.ru/lab21.files/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teormach.ru/lab21.files/image07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являются паразитными, каждое из них входит в два зубчатых зацепления.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Планетарные зубчатые передачи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В некоторых многоступенчатых зубчатых передачах оси отдельных колес являются подвижными. Такие зубчатые механизмы с одной степенью свободы называются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планетарными механизмами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(рис.9), а с двумя и более степенями свободы –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дифференциальными механизмами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или просто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дифференциалами.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В этих механизмах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колеса с подвижными осями вращения называются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сателлитами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(звено 2 на рис.9), а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звено, в котором установлены сателлиты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proofErr w:type="spellStart"/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водилом</w:t>
      </w:r>
      <w:proofErr w:type="spellEnd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На схемах водило принято обозначать буквой Н. Зубчатые колеса, оси которых совпадают с осью вращения водила, </w:t>
      </w:r>
      <w:proofErr w:type="spell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назыаются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центральными</w:t>
      </w:r>
      <w:proofErr w:type="gramEnd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(звенья 1 и 4 на рис.9)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 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Сателлиты бывают одновенцовые (левый рисунок) и </w:t>
      </w:r>
      <w:proofErr w:type="spell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многовенцовые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00CE2" w:rsidRPr="00E00CE2" w:rsidRDefault="00E00CE2" w:rsidP="00E00C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01741D1E" wp14:editId="5E8DB574">
            <wp:extent cx="5600700" cy="5667375"/>
            <wp:effectExtent l="0" t="0" r="0" b="9525"/>
            <wp:docPr id="21" name="Рисунок 21" descr="image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09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Передаточное число планетарного механизма определяется по формуле: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9FF0BE" wp14:editId="50E39B10">
            <wp:extent cx="2200275" cy="228600"/>
            <wp:effectExtent l="0" t="0" r="9525" b="0"/>
            <wp:docPr id="22" name="Рисунок 22" descr="http://www.teormach.ru/lab21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teormach.ru/lab21.files/image07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где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CE1013" wp14:editId="0A4BA36A">
            <wp:extent cx="561975" cy="209550"/>
            <wp:effectExtent l="0" t="0" r="9525" b="0"/>
            <wp:docPr id="23" name="Рисунок 23" descr="http://www.teormach.ru/lab21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teormach.ru/lab21.files/image077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- передаточные числа ступеней (с учетом знаков) при </w:t>
      </w: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остановленном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водиле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На рис.10 приведены формулы для определения передаточных чисел планетарных механизмов. Передаточные числа между подвижным центральным колесом и </w:t>
      </w:r>
      <w:proofErr w:type="spell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водилом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связаны соотношением: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434AB3" wp14:editId="42957A1D">
            <wp:extent cx="647700" cy="342900"/>
            <wp:effectExtent l="0" t="0" r="0" b="0"/>
            <wp:docPr id="24" name="Рисунок 24" descr="http://www.teormach.ru/lab21.files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teormach.ru/lab21.files/image078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232D0B78" wp14:editId="121DADC6">
            <wp:extent cx="4248000" cy="1953146"/>
            <wp:effectExtent l="0" t="0" r="635" b="9525"/>
            <wp:docPr id="25" name="Рисунок 25" descr="image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10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195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Рис.10. Определение передаточных чисел планетарных механизмов</w:t>
      </w:r>
    </w:p>
    <w:p w:rsidR="00E00CE2" w:rsidRPr="00E00CE2" w:rsidRDefault="00E00CE2" w:rsidP="00E00CE2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При выборе чисел зубьев колес планетарных зубчатых передач для них проверяются условия: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Условие </w:t>
      </w:r>
      <w:proofErr w:type="spellStart"/>
      <w:r w:rsidRPr="00E00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соосности</w:t>
      </w:r>
      <w:proofErr w:type="spellEnd"/>
      <w:r w:rsidRPr="00E00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обеспечивающее совпадение осей центральных зубчатых колес и водила</w:t>
      </w:r>
      <w:r w:rsidRPr="00E00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4E480B" wp14:editId="692EA762">
            <wp:extent cx="809625" cy="180975"/>
            <wp:effectExtent l="0" t="0" r="9525" b="9525"/>
            <wp:docPr id="26" name="Рисунок 26" descr="http://www.teormach.ru/lab21.files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teormach.ru/lab21.files/image08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(рис.10). Условия, приведенные на рис.10, получены для планетарных передач, зубчатые колеса которых имеют одинаковый модуль.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2. 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Условие соседства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обеспечивающее совместное размещение нескольких сателлитов по общей окружности в одной плоскости, без соприкосновения вершин зубьев соседних сателлитов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CDD191" wp14:editId="12ED6233">
            <wp:extent cx="1276350" cy="381000"/>
            <wp:effectExtent l="0" t="0" r="0" b="0"/>
            <wp:docPr id="27" name="Рисунок 27" descr="http://www.teormach.ru/lab21.files/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teormach.ru/lab21.files/image08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где </w:t>
      </w: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70CB38" wp14:editId="4F30EE6C">
            <wp:extent cx="323850" cy="180975"/>
            <wp:effectExtent l="0" t="0" r="0" b="9525"/>
            <wp:docPr id="28" name="Рисунок 28" descr="http://www.teormach.ru/lab21.files/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teormach.ru/lab21.files/image08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- максимальное число зубьев зубчатого венца сателлита, </w:t>
      </w:r>
      <w:r w:rsidRPr="00E00CE2">
        <w:rPr>
          <w:rFonts w:ascii="Times New Roman" w:eastAsia="Times New Roman" w:hAnsi="Times New Roman" w:cs="Times New Roman"/>
          <w:color w:val="000000"/>
          <w:lang w:val="en-US" w:eastAsia="ru-RU"/>
        </w:rPr>
        <w:t>k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- число сателлитов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Условие соседства получено для планетарных передач, у которых сателлиты </w:t>
      </w:r>
      <w:proofErr w:type="gram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располагаются равномерно по окружности водила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3. 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Условие сборки</w:t>
      </w: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зубчатых колес передачи, определяющее возможность сборки передачи при использовании нескольких сателлитов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E56118" wp14:editId="7BCAD325">
            <wp:extent cx="1276350" cy="314325"/>
            <wp:effectExtent l="0" t="0" r="0" b="9525"/>
            <wp:docPr id="29" name="Рисунок 29" descr="http://www.teormach.ru/lab21.files/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teormach.ru/lab21.files/image083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E2" w:rsidRPr="00E00CE2" w:rsidRDefault="00E00CE2" w:rsidP="00E0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где </w:t>
      </w:r>
      <w:proofErr w:type="gramStart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число полных поворотов водила 0,1,2,3..., </w:t>
      </w:r>
      <w:proofErr w:type="gramStart"/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</w:t>
      </w: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 xml:space="preserve"> целое число 1,2,3, ...</w:t>
      </w:r>
    </w:p>
    <w:p w:rsidR="00E00CE2" w:rsidRPr="00E00CE2" w:rsidRDefault="00E00CE2" w:rsidP="00E00C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00CE2" w:rsidRPr="00E00CE2" w:rsidRDefault="00E00CE2" w:rsidP="00E00C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Контрольные вопросы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1. Перечислить звенья, входящие в простейшие зубчатые механизмы.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2. Перечислить звенья, входящие в сложные зубчатые механизмы.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3. Цель использования многоступенчатых передач.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4. Перечислить основные типы зубчатых передач.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5. Написать формулу для определения передаточного числа многоступенчатой зубчатой передачи.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6. Написать формулу для определения передаточного числа одноступенчатой зубчатой передачи.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7. В чем достоинства и недостатки прямозубых и косозубых зубчатых колес?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8. Чем планетарная зубчатая передача отличается от </w:t>
      </w:r>
      <w:proofErr w:type="spellStart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непланетарной</w:t>
      </w:r>
      <w:proofErr w:type="spellEnd"/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9. Зачем устанавливают несколько сателлитов в планетарном механизме?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10. Как определить передаточное число планетарной зубчатой передачи?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11. Какие условия проверяются для планетарной передачи? В чем их смысл?</w:t>
      </w:r>
    </w:p>
    <w:p w:rsidR="00E00CE2" w:rsidRPr="00E00CE2" w:rsidRDefault="00E00CE2" w:rsidP="00E0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CE2">
        <w:rPr>
          <w:rFonts w:ascii="Times New Roman" w:eastAsia="Times New Roman" w:hAnsi="Times New Roman" w:cs="Times New Roman"/>
          <w:color w:val="000000"/>
          <w:lang w:eastAsia="ru-RU"/>
        </w:rPr>
        <w:t>12. Когда учитываются знаки передаточных чисел ступеней зубчатой передачи?</w:t>
      </w:r>
    </w:p>
    <w:p w:rsidR="00EB4AE6" w:rsidRDefault="00EB4AE6"/>
    <w:sectPr w:rsidR="00EB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E2"/>
    <w:rsid w:val="00E00CE2"/>
    <w:rsid w:val="00E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1502</Words>
  <Characters>8565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2020-04-21T14:06:00Z</dcterms:created>
  <dcterms:modified xsi:type="dcterms:W3CDTF">2020-04-21T14:15:00Z</dcterms:modified>
</cp:coreProperties>
</file>